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4201" w14:textId="09AE29DB" w:rsidR="00155724" w:rsidRPr="005A5F51" w:rsidRDefault="005A5F51" w:rsidP="005A5F51">
      <w:pPr>
        <w:pStyle w:val="NoSpacing"/>
        <w:jc w:val="center"/>
        <w:rPr>
          <w:b/>
          <w:bCs/>
        </w:rPr>
      </w:pPr>
      <w:r w:rsidRPr="005A5F51">
        <w:rPr>
          <w:b/>
          <w:bCs/>
        </w:rPr>
        <w:t>FY 2021 Continuum of Care (CoC) Program NOFO</w:t>
      </w:r>
    </w:p>
    <w:p w14:paraId="7988610A" w14:textId="563DAF99" w:rsidR="005A5F51" w:rsidRDefault="005A5F51" w:rsidP="005A5F51">
      <w:pPr>
        <w:pStyle w:val="NoSpacing"/>
        <w:jc w:val="center"/>
        <w:rPr>
          <w:b/>
          <w:bCs/>
        </w:rPr>
      </w:pPr>
      <w:r w:rsidRPr="005A5F51">
        <w:rPr>
          <w:b/>
          <w:bCs/>
        </w:rPr>
        <w:t>Summary</w:t>
      </w:r>
    </w:p>
    <w:p w14:paraId="17867253" w14:textId="1BDCA9A7" w:rsidR="00A75DE5" w:rsidRPr="00A75DE5" w:rsidRDefault="00A75DE5" w:rsidP="005A5F51">
      <w:pPr>
        <w:pStyle w:val="NoSpacing"/>
        <w:jc w:val="center"/>
        <w:rPr>
          <w:b/>
          <w:bCs/>
        </w:rPr>
      </w:pPr>
    </w:p>
    <w:p w14:paraId="7B653ACA" w14:textId="27EFF87D" w:rsidR="00A75DE5" w:rsidRPr="00A75DE5" w:rsidRDefault="00A75DE5" w:rsidP="00A75DE5">
      <w:pPr>
        <w:pStyle w:val="NoSpacing"/>
        <w:jc w:val="both"/>
        <w:rPr>
          <w:b/>
          <w:bCs/>
        </w:rPr>
      </w:pPr>
      <w:r>
        <w:rPr>
          <w:b/>
          <w:bCs/>
        </w:rPr>
        <w:t xml:space="preserve">Total </w:t>
      </w:r>
      <w:r w:rsidRPr="00A75DE5">
        <w:rPr>
          <w:b/>
          <w:bCs/>
        </w:rPr>
        <w:t>Funding Available</w:t>
      </w:r>
      <w:r w:rsidR="00FA56E0">
        <w:rPr>
          <w:b/>
          <w:bCs/>
        </w:rPr>
        <w:t xml:space="preserve"> Nationally</w:t>
      </w:r>
      <w:r w:rsidRPr="00A75DE5">
        <w:rPr>
          <w:b/>
          <w:bCs/>
        </w:rPr>
        <w:t>:</w:t>
      </w:r>
    </w:p>
    <w:p w14:paraId="22E4C8B9" w14:textId="454A1CF8" w:rsidR="00A75DE5" w:rsidRDefault="00A75DE5" w:rsidP="00A75DE5">
      <w:pPr>
        <w:pStyle w:val="NoSpacing"/>
        <w:jc w:val="both"/>
      </w:pPr>
      <w:r>
        <w:t>CoC Program - $2.65 billion</w:t>
      </w:r>
    </w:p>
    <w:p w14:paraId="47463241" w14:textId="0DD31747" w:rsidR="00A75DE5" w:rsidRDefault="00A75DE5" w:rsidP="00A75DE5">
      <w:pPr>
        <w:pStyle w:val="NoSpacing"/>
        <w:jc w:val="both"/>
      </w:pPr>
      <w:r>
        <w:t>DV Bonus Funding - $102,000,000</w:t>
      </w:r>
    </w:p>
    <w:p w14:paraId="7DE04C2B" w14:textId="7630B197" w:rsidR="00A75DE5" w:rsidRDefault="00A75DE5" w:rsidP="00A75DE5">
      <w:pPr>
        <w:pStyle w:val="NoSpacing"/>
        <w:jc w:val="both"/>
      </w:pPr>
      <w:r>
        <w:t>YHDP - Non-competitive YHDP renewal and replacement grants (N/A for our CoC)</w:t>
      </w:r>
    </w:p>
    <w:p w14:paraId="4519F3E7" w14:textId="0FAEBD1D" w:rsidR="00A75DE5" w:rsidRDefault="00A75DE5" w:rsidP="00A75DE5">
      <w:pPr>
        <w:pStyle w:val="NoSpacing"/>
        <w:jc w:val="both"/>
      </w:pPr>
    </w:p>
    <w:p w14:paraId="3D99ACFE" w14:textId="27C60303" w:rsidR="00A75DE5" w:rsidRDefault="00A75DE5" w:rsidP="00A75DE5">
      <w:pPr>
        <w:pStyle w:val="NoSpacing"/>
        <w:jc w:val="both"/>
        <w:rPr>
          <w:b/>
          <w:bCs/>
        </w:rPr>
      </w:pPr>
      <w:r w:rsidRPr="00A75DE5">
        <w:rPr>
          <w:b/>
          <w:bCs/>
        </w:rPr>
        <w:t>Funding Available for NY-5</w:t>
      </w:r>
      <w:r w:rsidR="0098171D">
        <w:rPr>
          <w:b/>
          <w:bCs/>
        </w:rPr>
        <w:t>13</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75DE5" w14:paraId="5E5B17C4" w14:textId="77777777" w:rsidTr="00A75DE5">
        <w:tc>
          <w:tcPr>
            <w:tcW w:w="1558" w:type="dxa"/>
          </w:tcPr>
          <w:p w14:paraId="56DA0FE6" w14:textId="67EB799D" w:rsidR="00A75DE5" w:rsidRPr="00A75DE5" w:rsidRDefault="00A75DE5" w:rsidP="00A75DE5">
            <w:pPr>
              <w:pStyle w:val="NoSpacing"/>
              <w:jc w:val="both"/>
              <w:rPr>
                <w:b/>
                <w:bCs/>
              </w:rPr>
            </w:pPr>
            <w:r w:rsidRPr="00A75DE5">
              <w:rPr>
                <w:b/>
                <w:bCs/>
              </w:rPr>
              <w:t>Preliminary Pro Rata Need</w:t>
            </w:r>
            <w:r w:rsidR="00BA0835">
              <w:rPr>
                <w:b/>
                <w:bCs/>
              </w:rPr>
              <w:t xml:space="preserve"> (PPRN)</w:t>
            </w:r>
          </w:p>
        </w:tc>
        <w:tc>
          <w:tcPr>
            <w:tcW w:w="1558" w:type="dxa"/>
          </w:tcPr>
          <w:p w14:paraId="06A0D435" w14:textId="3490FC60" w:rsidR="00A75DE5" w:rsidRPr="00A75DE5" w:rsidRDefault="00A75DE5" w:rsidP="00A75DE5">
            <w:pPr>
              <w:pStyle w:val="NoSpacing"/>
              <w:jc w:val="both"/>
              <w:rPr>
                <w:b/>
                <w:bCs/>
              </w:rPr>
            </w:pPr>
            <w:r w:rsidRPr="00A75DE5">
              <w:rPr>
                <w:b/>
                <w:bCs/>
              </w:rPr>
              <w:t>Annual Renewal Demand</w:t>
            </w:r>
            <w:r w:rsidR="00BA0835">
              <w:rPr>
                <w:b/>
                <w:bCs/>
              </w:rPr>
              <w:t xml:space="preserve"> (ARD)</w:t>
            </w:r>
          </w:p>
        </w:tc>
        <w:tc>
          <w:tcPr>
            <w:tcW w:w="1558" w:type="dxa"/>
          </w:tcPr>
          <w:p w14:paraId="62F9AD13" w14:textId="45C9FE09" w:rsidR="00A75DE5" w:rsidRPr="00A75DE5" w:rsidRDefault="00A75DE5" w:rsidP="00A75DE5">
            <w:pPr>
              <w:pStyle w:val="NoSpacing"/>
              <w:jc w:val="both"/>
              <w:rPr>
                <w:b/>
                <w:bCs/>
              </w:rPr>
            </w:pPr>
            <w:r w:rsidRPr="00A75DE5">
              <w:rPr>
                <w:b/>
                <w:bCs/>
              </w:rPr>
              <w:t>Tier 1</w:t>
            </w:r>
            <w:r w:rsidR="00BA0835">
              <w:rPr>
                <w:b/>
                <w:bCs/>
              </w:rPr>
              <w:t xml:space="preserve"> (100% of ARD)</w:t>
            </w:r>
          </w:p>
        </w:tc>
        <w:tc>
          <w:tcPr>
            <w:tcW w:w="1558" w:type="dxa"/>
          </w:tcPr>
          <w:p w14:paraId="1F71981B" w14:textId="4F7052ED" w:rsidR="00A75DE5" w:rsidRPr="00A75DE5" w:rsidRDefault="00A75DE5" w:rsidP="00A75DE5">
            <w:pPr>
              <w:pStyle w:val="NoSpacing"/>
              <w:jc w:val="both"/>
              <w:rPr>
                <w:b/>
                <w:bCs/>
              </w:rPr>
            </w:pPr>
            <w:r w:rsidRPr="00A75DE5">
              <w:rPr>
                <w:b/>
                <w:bCs/>
              </w:rPr>
              <w:t>CoC Bonus</w:t>
            </w:r>
            <w:r w:rsidR="00BA0835">
              <w:rPr>
                <w:b/>
                <w:bCs/>
              </w:rPr>
              <w:t xml:space="preserve"> (5% of ARD)</w:t>
            </w:r>
          </w:p>
        </w:tc>
        <w:tc>
          <w:tcPr>
            <w:tcW w:w="1559" w:type="dxa"/>
          </w:tcPr>
          <w:p w14:paraId="63E5145B" w14:textId="4620E107" w:rsidR="00A75DE5" w:rsidRPr="00A75DE5" w:rsidRDefault="00A75DE5" w:rsidP="00A75DE5">
            <w:pPr>
              <w:pStyle w:val="NoSpacing"/>
              <w:jc w:val="both"/>
              <w:rPr>
                <w:b/>
                <w:bCs/>
              </w:rPr>
            </w:pPr>
            <w:r w:rsidRPr="00A75DE5">
              <w:rPr>
                <w:b/>
                <w:bCs/>
              </w:rPr>
              <w:t>DV Bonus</w:t>
            </w:r>
          </w:p>
        </w:tc>
        <w:tc>
          <w:tcPr>
            <w:tcW w:w="1559" w:type="dxa"/>
          </w:tcPr>
          <w:p w14:paraId="664ACB03" w14:textId="7F2BA158" w:rsidR="00A75DE5" w:rsidRPr="00A75DE5" w:rsidRDefault="00A75DE5" w:rsidP="00A75DE5">
            <w:pPr>
              <w:pStyle w:val="NoSpacing"/>
              <w:jc w:val="both"/>
              <w:rPr>
                <w:b/>
                <w:bCs/>
              </w:rPr>
            </w:pPr>
            <w:r w:rsidRPr="00A75DE5">
              <w:rPr>
                <w:b/>
                <w:bCs/>
              </w:rPr>
              <w:t>CoC Planning Grant</w:t>
            </w:r>
            <w:r w:rsidR="00BA0835">
              <w:rPr>
                <w:b/>
                <w:bCs/>
              </w:rPr>
              <w:t xml:space="preserve"> (3% of ARD)</w:t>
            </w:r>
          </w:p>
        </w:tc>
      </w:tr>
      <w:tr w:rsidR="00A75DE5" w14:paraId="18C353C8" w14:textId="77777777" w:rsidTr="00A75DE5">
        <w:tc>
          <w:tcPr>
            <w:tcW w:w="1558" w:type="dxa"/>
          </w:tcPr>
          <w:p w14:paraId="67ABA6B2" w14:textId="6BEB2EA9" w:rsidR="00A75DE5" w:rsidRDefault="00A75DE5" w:rsidP="00A75DE5">
            <w:pPr>
              <w:pStyle w:val="NoSpacing"/>
              <w:jc w:val="both"/>
            </w:pPr>
            <w:r>
              <w:t>$</w:t>
            </w:r>
            <w:r w:rsidR="0098171D">
              <w:t>1,118,769</w:t>
            </w:r>
          </w:p>
        </w:tc>
        <w:tc>
          <w:tcPr>
            <w:tcW w:w="1558" w:type="dxa"/>
          </w:tcPr>
          <w:p w14:paraId="3F26FB77" w14:textId="66A741FB" w:rsidR="00A75DE5" w:rsidRDefault="00A75DE5" w:rsidP="00A75DE5">
            <w:pPr>
              <w:pStyle w:val="NoSpacing"/>
              <w:jc w:val="both"/>
            </w:pPr>
            <w:r>
              <w:t>$</w:t>
            </w:r>
            <w:r w:rsidR="0098171D">
              <w:t>325,000</w:t>
            </w:r>
          </w:p>
        </w:tc>
        <w:tc>
          <w:tcPr>
            <w:tcW w:w="1558" w:type="dxa"/>
          </w:tcPr>
          <w:p w14:paraId="5589E749" w14:textId="787D9DDC" w:rsidR="00A75DE5" w:rsidRDefault="00A75DE5" w:rsidP="00A75DE5">
            <w:pPr>
              <w:pStyle w:val="NoSpacing"/>
              <w:jc w:val="both"/>
            </w:pPr>
            <w:r>
              <w:t>$</w:t>
            </w:r>
            <w:r w:rsidR="0098171D">
              <w:t>325,000</w:t>
            </w:r>
          </w:p>
        </w:tc>
        <w:tc>
          <w:tcPr>
            <w:tcW w:w="1558" w:type="dxa"/>
          </w:tcPr>
          <w:p w14:paraId="267ABA4E" w14:textId="368E6F5A" w:rsidR="00A75DE5" w:rsidRDefault="00A75DE5" w:rsidP="00A75DE5">
            <w:pPr>
              <w:pStyle w:val="NoSpacing"/>
              <w:jc w:val="both"/>
            </w:pPr>
            <w:r>
              <w:t>$</w:t>
            </w:r>
            <w:r w:rsidR="0098171D">
              <w:t>55,938</w:t>
            </w:r>
          </w:p>
        </w:tc>
        <w:tc>
          <w:tcPr>
            <w:tcW w:w="1559" w:type="dxa"/>
          </w:tcPr>
          <w:p w14:paraId="4D4A138F" w14:textId="07FA1EB2" w:rsidR="00A75DE5" w:rsidRDefault="00A75DE5" w:rsidP="00A75DE5">
            <w:pPr>
              <w:pStyle w:val="NoSpacing"/>
              <w:jc w:val="both"/>
            </w:pPr>
            <w:r>
              <w:t>$</w:t>
            </w:r>
            <w:r w:rsidR="0098171D">
              <w:t>167,815</w:t>
            </w:r>
          </w:p>
        </w:tc>
        <w:tc>
          <w:tcPr>
            <w:tcW w:w="1559" w:type="dxa"/>
          </w:tcPr>
          <w:p w14:paraId="2DDD2AE5" w14:textId="5DF0214B" w:rsidR="00A75DE5" w:rsidRDefault="00A75DE5" w:rsidP="00A75DE5">
            <w:pPr>
              <w:pStyle w:val="NoSpacing"/>
              <w:jc w:val="both"/>
            </w:pPr>
            <w:r>
              <w:t>$</w:t>
            </w:r>
            <w:r w:rsidR="0098171D">
              <w:t>33,563</w:t>
            </w:r>
          </w:p>
        </w:tc>
      </w:tr>
    </w:tbl>
    <w:p w14:paraId="53D03AD3" w14:textId="3C1C9B58" w:rsidR="00A75DE5" w:rsidRDefault="00A75DE5" w:rsidP="00A75DE5">
      <w:pPr>
        <w:pStyle w:val="NoSpacing"/>
        <w:jc w:val="both"/>
      </w:pPr>
    </w:p>
    <w:p w14:paraId="308040D5" w14:textId="5846ACBD" w:rsidR="00FA56E0" w:rsidRDefault="00FA56E0" w:rsidP="00A75DE5">
      <w:pPr>
        <w:pStyle w:val="NoSpacing"/>
        <w:jc w:val="both"/>
      </w:pPr>
      <w:r w:rsidRPr="00FA56E0">
        <w:rPr>
          <w:b/>
          <w:bCs/>
        </w:rPr>
        <w:t>HUD Priorities</w:t>
      </w:r>
    </w:p>
    <w:p w14:paraId="198A8833" w14:textId="00DDA8A3" w:rsidR="00FA56E0" w:rsidRDefault="00FA56E0" w:rsidP="00FA56E0">
      <w:pPr>
        <w:pStyle w:val="NoSpacing"/>
        <w:numPr>
          <w:ilvl w:val="0"/>
          <w:numId w:val="1"/>
        </w:numPr>
        <w:jc w:val="both"/>
      </w:pPr>
      <w:r>
        <w:t>End homelessness for all</w:t>
      </w:r>
    </w:p>
    <w:p w14:paraId="529B25FE" w14:textId="5F6A2CE8" w:rsidR="00FA56E0" w:rsidRDefault="00FA56E0" w:rsidP="00FA56E0">
      <w:pPr>
        <w:pStyle w:val="NoSpacing"/>
        <w:numPr>
          <w:ilvl w:val="0"/>
          <w:numId w:val="1"/>
        </w:numPr>
        <w:jc w:val="both"/>
      </w:pPr>
      <w:r>
        <w:t>Use Housing First approach</w:t>
      </w:r>
    </w:p>
    <w:p w14:paraId="0749B5B3" w14:textId="4F48A74E" w:rsidR="00FA56E0" w:rsidRDefault="00FA56E0" w:rsidP="00FA56E0">
      <w:pPr>
        <w:pStyle w:val="NoSpacing"/>
        <w:numPr>
          <w:ilvl w:val="0"/>
          <w:numId w:val="1"/>
        </w:numPr>
        <w:jc w:val="both"/>
      </w:pPr>
      <w:r>
        <w:t>Decrease numbers of Unsheltered Homeless</w:t>
      </w:r>
    </w:p>
    <w:p w14:paraId="31473F7B" w14:textId="0CB29260" w:rsidR="00FA56E0" w:rsidRDefault="00FA56E0" w:rsidP="00FA56E0">
      <w:pPr>
        <w:pStyle w:val="NoSpacing"/>
        <w:numPr>
          <w:ilvl w:val="0"/>
          <w:numId w:val="1"/>
        </w:numPr>
        <w:jc w:val="both"/>
      </w:pPr>
      <w:r>
        <w:t>Increase system performance</w:t>
      </w:r>
    </w:p>
    <w:p w14:paraId="39A612B7" w14:textId="7C180B38" w:rsidR="00FA56E0" w:rsidRDefault="00FA56E0" w:rsidP="00FA56E0">
      <w:pPr>
        <w:pStyle w:val="NoSpacing"/>
        <w:numPr>
          <w:ilvl w:val="0"/>
          <w:numId w:val="1"/>
        </w:numPr>
        <w:jc w:val="both"/>
      </w:pPr>
      <w:r>
        <w:t>Partnering with Housing (specifically PHAs), Health and Service Agencies</w:t>
      </w:r>
    </w:p>
    <w:p w14:paraId="4F05CBA8" w14:textId="53E88E44" w:rsidR="00FA56E0" w:rsidRDefault="00FA56E0" w:rsidP="00FA56E0">
      <w:pPr>
        <w:pStyle w:val="NoSpacing"/>
        <w:numPr>
          <w:ilvl w:val="0"/>
          <w:numId w:val="1"/>
        </w:numPr>
        <w:jc w:val="both"/>
      </w:pPr>
      <w:r>
        <w:t>Racial Equity</w:t>
      </w:r>
    </w:p>
    <w:p w14:paraId="1BA6B23A" w14:textId="5B30E359" w:rsidR="00FA56E0" w:rsidRDefault="00FA56E0" w:rsidP="00FA56E0">
      <w:pPr>
        <w:pStyle w:val="NoSpacing"/>
        <w:numPr>
          <w:ilvl w:val="0"/>
          <w:numId w:val="1"/>
        </w:numPr>
        <w:jc w:val="both"/>
      </w:pPr>
      <w:r>
        <w:t>Inclusion of persons with lived experience in local planning process</w:t>
      </w:r>
    </w:p>
    <w:p w14:paraId="7D8EA5AB" w14:textId="6CCDEF49" w:rsidR="00FA56E0" w:rsidRDefault="00FA56E0" w:rsidP="00FA56E0">
      <w:pPr>
        <w:pStyle w:val="NoSpacing"/>
        <w:ind w:left="720"/>
        <w:jc w:val="both"/>
      </w:pPr>
    </w:p>
    <w:p w14:paraId="3361A9F3" w14:textId="625F0350" w:rsidR="006848E0" w:rsidRPr="006848E0" w:rsidRDefault="006848E0" w:rsidP="006848E0">
      <w:pPr>
        <w:pStyle w:val="NoSpacing"/>
        <w:jc w:val="both"/>
        <w:rPr>
          <w:b/>
          <w:bCs/>
        </w:rPr>
      </w:pPr>
      <w:r w:rsidRPr="006848E0">
        <w:rPr>
          <w:b/>
          <w:bCs/>
        </w:rPr>
        <w:t>Changes from Previous NOFO</w:t>
      </w:r>
    </w:p>
    <w:p w14:paraId="7644C300" w14:textId="3768B0E3" w:rsidR="00BA0835" w:rsidRDefault="00BA0835" w:rsidP="006848E0">
      <w:pPr>
        <w:pStyle w:val="NoSpacing"/>
        <w:numPr>
          <w:ilvl w:val="0"/>
          <w:numId w:val="2"/>
        </w:numPr>
        <w:jc w:val="both"/>
      </w:pPr>
      <w:r>
        <w:t>Tier 1 includes 100% of Annual Renewal Demand (ARD)</w:t>
      </w:r>
    </w:p>
    <w:p w14:paraId="720EEE0C" w14:textId="751D0B3B" w:rsidR="006848E0" w:rsidRDefault="006848E0" w:rsidP="006848E0">
      <w:pPr>
        <w:pStyle w:val="NoSpacing"/>
        <w:numPr>
          <w:ilvl w:val="0"/>
          <w:numId w:val="2"/>
        </w:numPr>
        <w:jc w:val="both"/>
      </w:pPr>
      <w:r>
        <w:t xml:space="preserve">Using the </w:t>
      </w:r>
      <w:r w:rsidR="00BA0835">
        <w:t>Housing First model to prioritize rapid placement and stabilization in permanent housing without service participation requirements or preconditions is returning in the FY 2021 CoC Program Competition</w:t>
      </w:r>
    </w:p>
    <w:p w14:paraId="31A18909" w14:textId="26EB6430" w:rsidR="00BA0835" w:rsidRDefault="00BA0835" w:rsidP="006848E0">
      <w:pPr>
        <w:pStyle w:val="NoSpacing"/>
        <w:numPr>
          <w:ilvl w:val="0"/>
          <w:numId w:val="2"/>
        </w:numPr>
        <w:jc w:val="both"/>
      </w:pPr>
      <w:r>
        <w:t>HUD will incentivize CoCs that create projects that coordinate with housing providers and healthcare organizations to provide permanent housing and rapid rehousing services</w:t>
      </w:r>
    </w:p>
    <w:p w14:paraId="2F6F3F6F" w14:textId="4B71C8BE" w:rsidR="00BA0835" w:rsidRDefault="00BA0835" w:rsidP="006848E0">
      <w:pPr>
        <w:pStyle w:val="NoSpacing"/>
        <w:numPr>
          <w:ilvl w:val="0"/>
          <w:numId w:val="2"/>
        </w:numPr>
        <w:jc w:val="both"/>
      </w:pPr>
      <w:r>
        <w:t>Increased points for collaboration with Public Housing Authority</w:t>
      </w:r>
    </w:p>
    <w:p w14:paraId="418AA394" w14:textId="672EFE15" w:rsidR="00BA0835" w:rsidRDefault="00BA0835" w:rsidP="006848E0">
      <w:pPr>
        <w:pStyle w:val="NoSpacing"/>
        <w:numPr>
          <w:ilvl w:val="0"/>
          <w:numId w:val="2"/>
        </w:numPr>
        <w:jc w:val="both"/>
      </w:pPr>
      <w:r>
        <w:t>Increased points for racial equity</w:t>
      </w:r>
    </w:p>
    <w:p w14:paraId="10D65C66" w14:textId="2D0C5222" w:rsidR="00BA0835" w:rsidRDefault="00BA0835" w:rsidP="006848E0">
      <w:pPr>
        <w:pStyle w:val="NoSpacing"/>
        <w:numPr>
          <w:ilvl w:val="0"/>
          <w:numId w:val="2"/>
        </w:numPr>
        <w:jc w:val="both"/>
      </w:pPr>
      <w:r>
        <w:t>Increased points for inclusion of persons with lived experience</w:t>
      </w:r>
    </w:p>
    <w:p w14:paraId="4CB79F58" w14:textId="265EDAC3" w:rsidR="00BA0835" w:rsidRDefault="00BA0835" w:rsidP="006848E0">
      <w:pPr>
        <w:pStyle w:val="NoSpacing"/>
        <w:numPr>
          <w:ilvl w:val="0"/>
          <w:numId w:val="2"/>
        </w:numPr>
        <w:jc w:val="both"/>
      </w:pPr>
      <w:r>
        <w:t>Points for how the CoC addressed challenges due to outbreak of COVID 19</w:t>
      </w:r>
    </w:p>
    <w:p w14:paraId="23310EB3" w14:textId="133B54AE" w:rsidR="00BA0835" w:rsidRDefault="00BA0835" w:rsidP="006848E0">
      <w:pPr>
        <w:pStyle w:val="NoSpacing"/>
        <w:numPr>
          <w:ilvl w:val="0"/>
          <w:numId w:val="2"/>
        </w:numPr>
        <w:jc w:val="both"/>
      </w:pPr>
      <w:r>
        <w:t>Points for coordination with ESG-CV funding</w:t>
      </w:r>
    </w:p>
    <w:p w14:paraId="662C4105" w14:textId="36153BC0" w:rsidR="00BA0835" w:rsidRDefault="00BA0835" w:rsidP="006848E0">
      <w:pPr>
        <w:pStyle w:val="NoSpacing"/>
        <w:numPr>
          <w:ilvl w:val="0"/>
          <w:numId w:val="2"/>
        </w:numPr>
        <w:jc w:val="both"/>
      </w:pPr>
      <w:r>
        <w:t>Scoring only the sheltered PIT count for 2021</w:t>
      </w:r>
    </w:p>
    <w:p w14:paraId="67A203F2" w14:textId="511ADDAA" w:rsidR="00962BEC" w:rsidRDefault="00962BEC" w:rsidP="006848E0">
      <w:pPr>
        <w:pStyle w:val="NoSpacing"/>
        <w:numPr>
          <w:ilvl w:val="0"/>
          <w:numId w:val="2"/>
        </w:numPr>
        <w:jc w:val="both"/>
      </w:pPr>
      <w:r>
        <w:t>CoCs should review all projects eligible for renewal in FY2021 to determine their effectiveness in serving people experiencing homelessness, including cost-effectiveness.  CoCs should also look for opportunities to implement continuous quality improvement and other process improvement strategies.  HUD recognizes that CoC performance and data quality may have been affected by COVID-19 compared to previous CoC NOFOs, and has reduced the points available for rating factors related to system performance.  However, HUD plans to significantly increase the points for performance rating factors in the FY 2022 and subsequent CoC NOFOs.</w:t>
      </w:r>
    </w:p>
    <w:p w14:paraId="0EB6B135" w14:textId="28CE6341" w:rsidR="00715912" w:rsidRDefault="00715912" w:rsidP="006848E0">
      <w:pPr>
        <w:pStyle w:val="NoSpacing"/>
        <w:numPr>
          <w:ilvl w:val="0"/>
          <w:numId w:val="2"/>
        </w:numPr>
        <w:jc w:val="both"/>
      </w:pPr>
      <w:r>
        <w:t xml:space="preserve">New projects can request an (18) month contract term for Year 1 only.  HUD recognizes it may take several months for a new project to become fully operational due to hiring, training, etc.  The </w:t>
      </w:r>
      <w:r>
        <w:lastRenderedPageBreak/>
        <w:t>budget needs to be built on one year of operations and that amount can not be exceeded for the 18 month period.</w:t>
      </w:r>
    </w:p>
    <w:p w14:paraId="10C28FBB" w14:textId="77777777" w:rsidR="00715912" w:rsidRDefault="00715912" w:rsidP="006848E0">
      <w:pPr>
        <w:pStyle w:val="NoSpacing"/>
        <w:numPr>
          <w:ilvl w:val="0"/>
          <w:numId w:val="2"/>
        </w:numPr>
        <w:jc w:val="both"/>
      </w:pPr>
    </w:p>
    <w:p w14:paraId="0736060D" w14:textId="15C9CB51" w:rsidR="00BA0835" w:rsidRDefault="00BA0835" w:rsidP="00962BEC">
      <w:pPr>
        <w:pStyle w:val="NoSpacing"/>
        <w:jc w:val="both"/>
      </w:pPr>
    </w:p>
    <w:p w14:paraId="7989B272" w14:textId="1AA87EEA" w:rsidR="00962BEC" w:rsidRDefault="00962BEC" w:rsidP="00962BEC">
      <w:pPr>
        <w:pStyle w:val="NoSpacing"/>
        <w:jc w:val="both"/>
        <w:rPr>
          <w:b/>
          <w:bCs/>
        </w:rPr>
      </w:pPr>
      <w:r w:rsidRPr="00962BEC">
        <w:rPr>
          <w:b/>
          <w:bCs/>
        </w:rPr>
        <w:t>DV Bonus Projects</w:t>
      </w:r>
    </w:p>
    <w:p w14:paraId="4D199D41" w14:textId="1935E2BD" w:rsidR="00962BEC" w:rsidRPr="00F131B8" w:rsidRDefault="00962BEC" w:rsidP="00962BEC">
      <w:pPr>
        <w:pStyle w:val="NoSpacing"/>
        <w:numPr>
          <w:ilvl w:val="0"/>
          <w:numId w:val="3"/>
        </w:numPr>
        <w:jc w:val="both"/>
        <w:rPr>
          <w:b/>
          <w:bCs/>
        </w:rPr>
      </w:pPr>
      <w:r>
        <w:t>100% of participants must be fleeing Domestic Violence</w:t>
      </w:r>
    </w:p>
    <w:p w14:paraId="43481C51" w14:textId="26C291BB" w:rsidR="00F131B8" w:rsidRPr="00F131B8" w:rsidRDefault="00F131B8" w:rsidP="00962BEC">
      <w:pPr>
        <w:pStyle w:val="NoSpacing"/>
        <w:numPr>
          <w:ilvl w:val="0"/>
          <w:numId w:val="3"/>
        </w:numPr>
        <w:jc w:val="both"/>
        <w:rPr>
          <w:b/>
          <w:bCs/>
        </w:rPr>
      </w:pPr>
      <w:r>
        <w:t>Eligible projects</w:t>
      </w:r>
    </w:p>
    <w:p w14:paraId="115D6D02" w14:textId="6B15F9E6" w:rsidR="00F131B8" w:rsidRPr="00F131B8" w:rsidRDefault="00F131B8" w:rsidP="00F131B8">
      <w:pPr>
        <w:pStyle w:val="NoSpacing"/>
        <w:numPr>
          <w:ilvl w:val="1"/>
          <w:numId w:val="3"/>
        </w:numPr>
        <w:jc w:val="both"/>
        <w:rPr>
          <w:b/>
          <w:bCs/>
        </w:rPr>
      </w:pPr>
      <w:r>
        <w:t>RRH or TH-RRH</w:t>
      </w:r>
    </w:p>
    <w:p w14:paraId="4520CB57" w14:textId="24D60753" w:rsidR="00F131B8" w:rsidRPr="00F131B8" w:rsidRDefault="00F131B8" w:rsidP="00F131B8">
      <w:pPr>
        <w:pStyle w:val="NoSpacing"/>
        <w:numPr>
          <w:ilvl w:val="1"/>
          <w:numId w:val="3"/>
        </w:numPr>
        <w:jc w:val="both"/>
        <w:rPr>
          <w:b/>
          <w:bCs/>
        </w:rPr>
      </w:pPr>
      <w:r>
        <w:t>Coordinated Entry for DV programs only</w:t>
      </w:r>
    </w:p>
    <w:p w14:paraId="41E3B2F9" w14:textId="0FA4C729" w:rsidR="00F131B8" w:rsidRPr="00C73DF2" w:rsidRDefault="00F131B8" w:rsidP="00F131B8">
      <w:pPr>
        <w:pStyle w:val="NoSpacing"/>
        <w:numPr>
          <w:ilvl w:val="0"/>
          <w:numId w:val="3"/>
        </w:numPr>
        <w:jc w:val="both"/>
        <w:rPr>
          <w:b/>
          <w:bCs/>
        </w:rPr>
      </w:pPr>
      <w:r>
        <w:t xml:space="preserve">If DV Bonus project(s) is awarded funding through the DV Bonus, it will be removed from the current ranking and all projects beneath it will move up in the ranking.  </w:t>
      </w:r>
    </w:p>
    <w:p w14:paraId="3F7930A2" w14:textId="274B8E4B" w:rsidR="00C73DF2" w:rsidRDefault="00C73DF2" w:rsidP="00C73DF2">
      <w:pPr>
        <w:pStyle w:val="NoSpacing"/>
        <w:ind w:left="720"/>
        <w:jc w:val="both"/>
      </w:pPr>
    </w:p>
    <w:p w14:paraId="189EAC1D" w14:textId="053A43B3" w:rsidR="00C73DF2" w:rsidRDefault="00C73DF2" w:rsidP="00C73DF2">
      <w:pPr>
        <w:pStyle w:val="NoSpacing"/>
        <w:jc w:val="both"/>
        <w:rPr>
          <w:b/>
          <w:bCs/>
        </w:rPr>
      </w:pPr>
      <w:r w:rsidRPr="00C73DF2">
        <w:rPr>
          <w:b/>
          <w:bCs/>
        </w:rPr>
        <w:t>New Projects</w:t>
      </w:r>
    </w:p>
    <w:p w14:paraId="2743CCDF" w14:textId="1804DFE1" w:rsidR="00C73DF2" w:rsidRPr="00C73DF2" w:rsidRDefault="00C73DF2" w:rsidP="00C73DF2">
      <w:pPr>
        <w:pStyle w:val="NoSpacing"/>
        <w:numPr>
          <w:ilvl w:val="0"/>
          <w:numId w:val="5"/>
        </w:numPr>
        <w:jc w:val="both"/>
        <w:rPr>
          <w:b/>
          <w:bCs/>
        </w:rPr>
      </w:pPr>
      <w:r>
        <w:t>Must be created with reallocated or bonus funding</w:t>
      </w:r>
    </w:p>
    <w:p w14:paraId="0E0D84D9" w14:textId="7E6EC6FE" w:rsidR="00C73DF2" w:rsidRPr="00C73DF2" w:rsidRDefault="00C73DF2" w:rsidP="00C73DF2">
      <w:pPr>
        <w:pStyle w:val="NoSpacing"/>
        <w:numPr>
          <w:ilvl w:val="0"/>
          <w:numId w:val="5"/>
        </w:numPr>
        <w:jc w:val="both"/>
        <w:rPr>
          <w:b/>
          <w:bCs/>
        </w:rPr>
      </w:pPr>
      <w:r>
        <w:t>Eligible projects</w:t>
      </w:r>
    </w:p>
    <w:p w14:paraId="7AD4FB53" w14:textId="720A8AE4" w:rsidR="00C73DF2" w:rsidRPr="00C73DF2" w:rsidRDefault="00C73DF2" w:rsidP="00C73DF2">
      <w:pPr>
        <w:pStyle w:val="NoSpacing"/>
        <w:numPr>
          <w:ilvl w:val="1"/>
          <w:numId w:val="5"/>
        </w:numPr>
        <w:jc w:val="both"/>
        <w:rPr>
          <w:b/>
          <w:bCs/>
        </w:rPr>
      </w:pPr>
      <w:r>
        <w:t>PSH</w:t>
      </w:r>
    </w:p>
    <w:p w14:paraId="197F5187" w14:textId="20B67F40" w:rsidR="00C73DF2" w:rsidRPr="00C73DF2" w:rsidRDefault="00C73DF2" w:rsidP="00C73DF2">
      <w:pPr>
        <w:pStyle w:val="NoSpacing"/>
        <w:numPr>
          <w:ilvl w:val="1"/>
          <w:numId w:val="5"/>
        </w:numPr>
        <w:jc w:val="both"/>
        <w:rPr>
          <w:b/>
          <w:bCs/>
        </w:rPr>
      </w:pPr>
      <w:r>
        <w:t>RRH</w:t>
      </w:r>
    </w:p>
    <w:p w14:paraId="143C83E8" w14:textId="309ADFA4" w:rsidR="00C73DF2" w:rsidRPr="00C73DF2" w:rsidRDefault="00C73DF2" w:rsidP="00C73DF2">
      <w:pPr>
        <w:pStyle w:val="NoSpacing"/>
        <w:numPr>
          <w:ilvl w:val="1"/>
          <w:numId w:val="5"/>
        </w:numPr>
        <w:jc w:val="both"/>
        <w:rPr>
          <w:b/>
          <w:bCs/>
        </w:rPr>
      </w:pPr>
      <w:r>
        <w:t>Joint TH and PH-RRH</w:t>
      </w:r>
    </w:p>
    <w:p w14:paraId="44206D35" w14:textId="7FD884BE" w:rsidR="00C73DF2" w:rsidRPr="00C73DF2" w:rsidRDefault="00C73DF2" w:rsidP="00C73DF2">
      <w:pPr>
        <w:pStyle w:val="NoSpacing"/>
        <w:numPr>
          <w:ilvl w:val="1"/>
          <w:numId w:val="5"/>
        </w:numPr>
        <w:jc w:val="both"/>
        <w:rPr>
          <w:b/>
          <w:bCs/>
        </w:rPr>
      </w:pPr>
      <w:r>
        <w:t>Coordinated Entry - SSO</w:t>
      </w:r>
    </w:p>
    <w:p w14:paraId="3069606A" w14:textId="3649FAB3" w:rsidR="00C73DF2" w:rsidRPr="00C73DF2" w:rsidRDefault="00C73DF2" w:rsidP="00C73DF2">
      <w:pPr>
        <w:pStyle w:val="NoSpacing"/>
        <w:numPr>
          <w:ilvl w:val="1"/>
          <w:numId w:val="5"/>
        </w:numPr>
        <w:jc w:val="both"/>
        <w:rPr>
          <w:b/>
          <w:bCs/>
        </w:rPr>
      </w:pPr>
      <w:r>
        <w:t>HMIS</w:t>
      </w:r>
    </w:p>
    <w:p w14:paraId="4F23787F" w14:textId="57932BFD" w:rsidR="00C73DF2" w:rsidRPr="00C73DF2" w:rsidRDefault="00C73DF2" w:rsidP="00C73DF2">
      <w:pPr>
        <w:pStyle w:val="NoSpacing"/>
        <w:numPr>
          <w:ilvl w:val="1"/>
          <w:numId w:val="5"/>
        </w:numPr>
        <w:jc w:val="both"/>
        <w:rPr>
          <w:b/>
          <w:bCs/>
        </w:rPr>
      </w:pPr>
      <w:r>
        <w:t xml:space="preserve">DV Bonus </w:t>
      </w:r>
    </w:p>
    <w:p w14:paraId="3870AC8A" w14:textId="559802EC" w:rsidR="00C73DF2" w:rsidRDefault="00C73DF2" w:rsidP="00C73DF2">
      <w:pPr>
        <w:pStyle w:val="NoSpacing"/>
        <w:ind w:left="720"/>
        <w:jc w:val="both"/>
      </w:pPr>
    </w:p>
    <w:p w14:paraId="43B4FAF1" w14:textId="56C96DB1" w:rsidR="00C73DF2" w:rsidRDefault="00C30FBC" w:rsidP="00C73DF2">
      <w:pPr>
        <w:pStyle w:val="NoSpacing"/>
        <w:jc w:val="both"/>
        <w:rPr>
          <w:b/>
          <w:bCs/>
        </w:rPr>
      </w:pPr>
      <w:r>
        <w:rPr>
          <w:b/>
          <w:bCs/>
        </w:rPr>
        <w:t>Consolidation Grants</w:t>
      </w:r>
    </w:p>
    <w:p w14:paraId="449CD006" w14:textId="472B4FFB" w:rsidR="00C73DF2" w:rsidRDefault="00C73DF2" w:rsidP="00C73DF2">
      <w:pPr>
        <w:pStyle w:val="NoSpacing"/>
        <w:numPr>
          <w:ilvl w:val="0"/>
          <w:numId w:val="4"/>
        </w:numPr>
        <w:jc w:val="both"/>
      </w:pPr>
      <w:r>
        <w:t xml:space="preserve">Organizations may consolidate 2 -10 projects </w:t>
      </w:r>
      <w:r w:rsidR="00C30FBC">
        <w:t>of the same component type</w:t>
      </w:r>
    </w:p>
    <w:p w14:paraId="4ECC11A3" w14:textId="301D1632" w:rsidR="00C30FBC" w:rsidRDefault="00C30FBC" w:rsidP="00C73DF2">
      <w:pPr>
        <w:pStyle w:val="NoSpacing"/>
        <w:numPr>
          <w:ilvl w:val="0"/>
          <w:numId w:val="4"/>
        </w:numPr>
        <w:jc w:val="both"/>
      </w:pPr>
      <w:r>
        <w:t>Must submit renewal applications and a consolidated project application into Esnaps</w:t>
      </w:r>
    </w:p>
    <w:p w14:paraId="66E93FD2" w14:textId="1D425C51" w:rsidR="00C30FBC" w:rsidRDefault="00C30FBC" w:rsidP="00C30FBC">
      <w:pPr>
        <w:pStyle w:val="NoSpacing"/>
        <w:ind w:left="720"/>
        <w:jc w:val="both"/>
      </w:pPr>
    </w:p>
    <w:p w14:paraId="15DC6107" w14:textId="63A830EA" w:rsidR="00C30FBC" w:rsidRDefault="00C30FBC" w:rsidP="00C30FBC">
      <w:pPr>
        <w:pStyle w:val="NoSpacing"/>
        <w:jc w:val="both"/>
        <w:rPr>
          <w:b/>
          <w:bCs/>
        </w:rPr>
      </w:pPr>
      <w:r w:rsidRPr="00C30FBC">
        <w:rPr>
          <w:b/>
          <w:bCs/>
        </w:rPr>
        <w:t>Expansion Grants</w:t>
      </w:r>
    </w:p>
    <w:p w14:paraId="46696DF4" w14:textId="7D9CB9C0" w:rsidR="00C30FBC" w:rsidRPr="00C6164F" w:rsidRDefault="00C30FBC" w:rsidP="00C30FBC">
      <w:pPr>
        <w:pStyle w:val="NoSpacing"/>
        <w:numPr>
          <w:ilvl w:val="0"/>
          <w:numId w:val="6"/>
        </w:numPr>
        <w:jc w:val="both"/>
        <w:rPr>
          <w:b/>
          <w:bCs/>
        </w:rPr>
      </w:pPr>
      <w:r>
        <w:t xml:space="preserve">An expansion grant </w:t>
      </w:r>
      <w:r w:rsidR="00C6164F">
        <w:t>must increase units, beds, services, or persons served in an existing grant.  Must be for activities and funding parameters allowed under reallocation, CoC Bonus or DV bonus projects.</w:t>
      </w:r>
    </w:p>
    <w:p w14:paraId="649E004E" w14:textId="14EB87C9" w:rsidR="00C6164F" w:rsidRPr="00C6164F" w:rsidRDefault="00C6164F" w:rsidP="00C30FBC">
      <w:pPr>
        <w:pStyle w:val="NoSpacing"/>
        <w:numPr>
          <w:ilvl w:val="0"/>
          <w:numId w:val="6"/>
        </w:numPr>
        <w:jc w:val="both"/>
        <w:rPr>
          <w:b/>
          <w:bCs/>
        </w:rPr>
      </w:pPr>
      <w:r>
        <w:t xml:space="preserve">Must submit a renewal and an expansion grant application.  </w:t>
      </w:r>
    </w:p>
    <w:p w14:paraId="2AC4F5EC" w14:textId="030EAB1D" w:rsidR="00C6164F" w:rsidRPr="00C6164F" w:rsidRDefault="00C6164F" w:rsidP="00C30FBC">
      <w:pPr>
        <w:pStyle w:val="NoSpacing"/>
        <w:numPr>
          <w:ilvl w:val="0"/>
          <w:numId w:val="6"/>
        </w:numPr>
        <w:jc w:val="both"/>
        <w:rPr>
          <w:b/>
          <w:bCs/>
        </w:rPr>
      </w:pPr>
      <w:r>
        <w:t>If both renewal and expansion grant is awarded, one grant agreement will be executed.  If renewal not awarded, expansion is not awarded.  If renewal awarded but not the expansion, the renewal grant continues as currently operated.</w:t>
      </w:r>
    </w:p>
    <w:p w14:paraId="64C73832" w14:textId="49C3CD01" w:rsidR="00C6164F" w:rsidRDefault="00C6164F" w:rsidP="00C6164F">
      <w:pPr>
        <w:pStyle w:val="NoSpacing"/>
        <w:ind w:left="720"/>
        <w:jc w:val="both"/>
      </w:pPr>
    </w:p>
    <w:p w14:paraId="779C6CFC" w14:textId="15EFB9C4" w:rsidR="00C6164F" w:rsidRPr="00331234" w:rsidRDefault="00331234" w:rsidP="00C6164F">
      <w:pPr>
        <w:pStyle w:val="NoSpacing"/>
        <w:jc w:val="both"/>
        <w:rPr>
          <w:b/>
          <w:bCs/>
        </w:rPr>
      </w:pPr>
      <w:r w:rsidRPr="00331234">
        <w:rPr>
          <w:b/>
          <w:bCs/>
        </w:rPr>
        <w:t>Transition Grants</w:t>
      </w:r>
    </w:p>
    <w:p w14:paraId="28B6564B" w14:textId="5A11218A" w:rsidR="00331234" w:rsidRPr="00331234" w:rsidRDefault="00331234" w:rsidP="00331234">
      <w:pPr>
        <w:pStyle w:val="NoSpacing"/>
        <w:numPr>
          <w:ilvl w:val="0"/>
          <w:numId w:val="7"/>
        </w:numPr>
        <w:jc w:val="both"/>
        <w:rPr>
          <w:b/>
          <w:bCs/>
        </w:rPr>
      </w:pPr>
      <w:r>
        <w:t xml:space="preserve">A grant to fund a new project to transition an eligible renewal project being eliminated through reallocation form one program component to another new component over a one year period.  </w:t>
      </w:r>
    </w:p>
    <w:p w14:paraId="5E40A03F" w14:textId="1357EFA7" w:rsidR="00331234" w:rsidRPr="00331234" w:rsidRDefault="00331234" w:rsidP="00331234">
      <w:pPr>
        <w:pStyle w:val="NoSpacing"/>
        <w:numPr>
          <w:ilvl w:val="0"/>
          <w:numId w:val="7"/>
        </w:numPr>
        <w:jc w:val="both"/>
        <w:rPr>
          <w:b/>
          <w:bCs/>
        </w:rPr>
      </w:pPr>
      <w:r>
        <w:t>No more than 50% of the grant can be used for eligible activities of the original grant.  All remaining funds must be used under the new component of the project.</w:t>
      </w:r>
    </w:p>
    <w:p w14:paraId="2F91A100" w14:textId="3CEC6F06" w:rsidR="00331234" w:rsidRPr="00331234" w:rsidRDefault="00331234" w:rsidP="00331234">
      <w:pPr>
        <w:pStyle w:val="NoSpacing"/>
        <w:numPr>
          <w:ilvl w:val="0"/>
          <w:numId w:val="7"/>
        </w:numPr>
        <w:jc w:val="both"/>
        <w:rPr>
          <w:b/>
          <w:bCs/>
        </w:rPr>
      </w:pPr>
      <w:r>
        <w:t>Eligible for renewal only for the new component activities</w:t>
      </w:r>
    </w:p>
    <w:p w14:paraId="556C0322" w14:textId="63E2BBA0" w:rsidR="00331234" w:rsidRPr="00331234" w:rsidRDefault="00331234" w:rsidP="00331234">
      <w:pPr>
        <w:pStyle w:val="NoSpacing"/>
        <w:numPr>
          <w:ilvl w:val="0"/>
          <w:numId w:val="7"/>
        </w:numPr>
        <w:jc w:val="both"/>
        <w:rPr>
          <w:b/>
          <w:bCs/>
        </w:rPr>
      </w:pPr>
      <w:r>
        <w:t>Must get approval from the CoC</w:t>
      </w:r>
    </w:p>
    <w:p w14:paraId="0C44C91D" w14:textId="45E404CC" w:rsidR="00331234" w:rsidRDefault="00331234" w:rsidP="00331234">
      <w:pPr>
        <w:pStyle w:val="NoSpacing"/>
        <w:ind w:left="720"/>
        <w:jc w:val="both"/>
      </w:pPr>
    </w:p>
    <w:p w14:paraId="03B71E7B" w14:textId="77777777" w:rsidR="00BA0835" w:rsidRPr="00FA56E0" w:rsidRDefault="00BA0835" w:rsidP="00BA0835">
      <w:pPr>
        <w:pStyle w:val="NoSpacing"/>
        <w:ind w:left="720"/>
        <w:jc w:val="both"/>
      </w:pPr>
    </w:p>
    <w:sectPr w:rsidR="00BA0835" w:rsidRPr="00FA5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E4816"/>
    <w:multiLevelType w:val="hybridMultilevel"/>
    <w:tmpl w:val="C00A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44D04"/>
    <w:multiLevelType w:val="hybridMultilevel"/>
    <w:tmpl w:val="98CC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B43A9"/>
    <w:multiLevelType w:val="hybridMultilevel"/>
    <w:tmpl w:val="B626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06C06"/>
    <w:multiLevelType w:val="hybridMultilevel"/>
    <w:tmpl w:val="D77C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B16089"/>
    <w:multiLevelType w:val="hybridMultilevel"/>
    <w:tmpl w:val="AEAA2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66BD4"/>
    <w:multiLevelType w:val="hybridMultilevel"/>
    <w:tmpl w:val="C164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84052"/>
    <w:multiLevelType w:val="hybridMultilevel"/>
    <w:tmpl w:val="928E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51"/>
    <w:rsid w:val="00155724"/>
    <w:rsid w:val="00331234"/>
    <w:rsid w:val="005A5F51"/>
    <w:rsid w:val="006848E0"/>
    <w:rsid w:val="00715912"/>
    <w:rsid w:val="00962BEC"/>
    <w:rsid w:val="0098171D"/>
    <w:rsid w:val="00A75DE5"/>
    <w:rsid w:val="00BA0835"/>
    <w:rsid w:val="00C30FBC"/>
    <w:rsid w:val="00C6164F"/>
    <w:rsid w:val="00C73DF2"/>
    <w:rsid w:val="00DD76C9"/>
    <w:rsid w:val="00F131B8"/>
    <w:rsid w:val="00F97404"/>
    <w:rsid w:val="00FA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2A1C"/>
  <w15:chartTrackingRefBased/>
  <w15:docId w15:val="{86F446C4-C697-45DE-B4C3-A4B597DA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F51"/>
    <w:pPr>
      <w:spacing w:after="0" w:line="240" w:lineRule="auto"/>
    </w:pPr>
  </w:style>
  <w:style w:type="table" w:styleId="TableGrid">
    <w:name w:val="Table Grid"/>
    <w:basedOn w:val="TableNormal"/>
    <w:uiPriority w:val="39"/>
    <w:rsid w:val="00A7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Sanderson</dc:creator>
  <cp:keywords/>
  <dc:description/>
  <cp:lastModifiedBy>Connie Sanderson</cp:lastModifiedBy>
  <cp:revision>3</cp:revision>
  <dcterms:created xsi:type="dcterms:W3CDTF">2021-08-21T20:52:00Z</dcterms:created>
  <dcterms:modified xsi:type="dcterms:W3CDTF">2021-08-21T20:54:00Z</dcterms:modified>
</cp:coreProperties>
</file>